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0"/>
          <w:bCs w:val="0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0"/>
        <w:gridCol w:w="7200"/>
        <w:gridCol w:w="7200"/>
        <w:tblGridChange w:id="0">
          <w:tblGrid>
            <w:gridCol w:w="7200"/>
            <w:gridCol w:w="7200"/>
            <w:gridCol w:w="720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38"/>
                <w:szCs w:val="38"/>
              </w:rPr>
            </w:pPr>
            <w:r w:rsidDel="00000000" w:rsidR="00000000" w:rsidRPr="00000000">
              <w:rPr>
                <w:rFonts w:ascii="Arial" w:cs="Arial" w:eastAsia="Arial" w:hAnsi="Arial"/>
                <w:sz w:val="38"/>
                <w:szCs w:val="38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38"/>
                <w:szCs w:val="38"/>
              </w:rPr>
            </w:pPr>
            <w:r w:rsidDel="00000000" w:rsidR="00000000" w:rsidRPr="00000000">
              <w:rPr>
                <w:rFonts w:ascii="Arial" w:cs="Arial" w:eastAsia="Arial" w:hAnsi="Arial"/>
                <w:sz w:val="38"/>
                <w:szCs w:val="38"/>
                <w:rtl w:val="0"/>
              </w:rPr>
              <w:t xml:space="preserve">Du 27 avril au 1er mai 2026</w:t>
            </w:r>
          </w:p>
          <w:p w:rsidR="00000000" w:rsidDel="00000000" w:rsidP="00000000" w:rsidRDefault="00000000" w:rsidRPr="00000000" w14:paraId="00000007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Fira Sans" w:cs="Fira Sans" w:eastAsia="Fira Sans" w:hAnsi="Fira Sans"/>
                <w:b w:val="0"/>
                <w:bCs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bCs w:val="0"/>
                <w:sz w:val="22"/>
                <w:szCs w:val="22"/>
              </w:rPr>
              <w:drawing>
                <wp:inline distB="114300" distT="114300" distL="114300" distR="114300">
                  <wp:extent cx="2371725" cy="136138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61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Fira Sans" w:cs="Fira Sans" w:eastAsia="Fira Sans" w:hAnsi="Fira Sans"/>
          <w:b w:val="0"/>
          <w:bCs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42.0" w:type="dxa"/>
        <w:jc w:val="left"/>
        <w:tblInd w:w="116.0" w:type="dxa"/>
        <w:tblLayout w:type="fixed"/>
        <w:tblLook w:val="0400"/>
      </w:tblPr>
      <w:tblGrid>
        <w:gridCol w:w="2681"/>
        <w:gridCol w:w="2681"/>
        <w:gridCol w:w="2680"/>
        <w:gridCol w:w="2680"/>
        <w:gridCol w:w="2680"/>
        <w:gridCol w:w="2680"/>
        <w:gridCol w:w="2410"/>
        <w:gridCol w:w="2950"/>
        <w:tblGridChange w:id="0">
          <w:tblGrid>
            <w:gridCol w:w="2681"/>
            <w:gridCol w:w="2681"/>
            <w:gridCol w:w="2680"/>
            <w:gridCol w:w="2680"/>
            <w:gridCol w:w="2680"/>
            <w:gridCol w:w="2680"/>
            <w:gridCol w:w="2410"/>
            <w:gridCol w:w="295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Tubes de yogourt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aux légumes 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Crème de poulet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 Macaroni à la viande 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betteraves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pois chiches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Compote sans sucre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Muffin aux canneberges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 pommes de terre et légumes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Biscuit maison  </w:t>
            </w:r>
          </w:p>
        </w:tc>
      </w:tr>
      <w:tr>
        <w:trPr>
          <w:cantSplit w:val="0"/>
          <w:trHeight w:val="100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Fromage fondu et craquelins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aux tomates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poulet et nouilles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Pizzas variées sur pain naan 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betteraves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pois chiches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Raisins rouges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Barre santé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Poisson style Fish and chips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Croustade aux pommes</w:t>
            </w:r>
          </w:p>
        </w:tc>
      </w:tr>
      <w:tr>
        <w:trPr>
          <w:cantSplit w:val="0"/>
          <w:trHeight w:val="80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Pain plat aux pommes avec fromage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Potage de légumes et orges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de poireaux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Longe de bœuf avec  carottes et pommes de terre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maïs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pommes de terre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Yogourt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Bâtonnets de carotte et concombre avec trempette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Lasagne maison</w:t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avec pain à l’ail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Petits gâteaux</w:t>
            </w:r>
          </w:p>
        </w:tc>
      </w:tr>
      <w:tr>
        <w:trPr>
          <w:cantSplit w:val="0"/>
          <w:trHeight w:val="17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Muffin à la cannelle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aux riz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Potage de carottes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Croissant à la dinde et fromage 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césar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maïs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pommes de terre 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Carré au chocolat aux haricots rouges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8cce4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Banane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Poulet kiev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Légumes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Pommes de terre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7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tabs>
          <w:tab w:val="center" w:leader="none" w:pos="4680"/>
          <w:tab w:val="right" w:leader="none" w:pos="9360"/>
        </w:tabs>
        <w:rPr>
          <w:rFonts w:ascii="Century Gothic" w:cs="Century Gothic" w:eastAsia="Century Gothic" w:hAnsi="Century Gothic"/>
          <w:b w:val="0"/>
          <w:bCs w:val="0"/>
          <w:i w:val="1"/>
          <w:i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1"/>
          <w:iCs w:val="1"/>
          <w:sz w:val="24"/>
          <w:szCs w:val="24"/>
          <w:rtl w:val="0"/>
        </w:rPr>
        <w:t xml:space="preserve">Assortiment de salades et crudités chaque jour -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bCs w:val="1"/>
        <w:lang w:val="fr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EzqscoztQEFfo05F/FkVzHgDQ==">CgMxLjAyCGguZ2pkZ3hzOAByITFmcmdCaVBxckE4VndKVXFpZkFjT0lHZ2V4VXM4aHZYSg==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