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Century" w:cs="Century" w:eastAsia="Century" w:hAnsi="Century"/>
                <w:sz w:val="36"/>
                <w:szCs w:val="36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             MENU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 du 4 au 8 mai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42.0" w:type="dxa"/>
        <w:jc w:val="left"/>
        <w:tblInd w:w="116.0" w:type="dxa"/>
        <w:tblLayout w:type="fixed"/>
        <w:tblLook w:val="0400"/>
      </w:tblPr>
      <w:tblGrid>
        <w:gridCol w:w="2681"/>
        <w:gridCol w:w="2681"/>
        <w:gridCol w:w="2680"/>
        <w:gridCol w:w="2680"/>
        <w:gridCol w:w="2680"/>
        <w:gridCol w:w="2680"/>
        <w:gridCol w:w="2410"/>
        <w:gridCol w:w="2950"/>
        <w:tblGridChange w:id="0">
          <w:tblGrid>
            <w:gridCol w:w="2681"/>
            <w:gridCol w:w="2681"/>
            <w:gridCol w:w="2680"/>
            <w:gridCol w:w="2680"/>
            <w:gridCol w:w="2680"/>
            <w:gridCol w:w="2680"/>
            <w:gridCol w:w="2410"/>
            <w:gridCol w:w="29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Dessert</w:t>
            </w:r>
          </w:p>
        </w:tc>
      </w:tr>
      <w:tr>
        <w:trPr>
          <w:cantSplit w:val="0"/>
          <w:trHeight w:val="16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canneberges et au citron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carottes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cultivateur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macaroni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céleri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Purée de fruits sans sucre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Galette de riz avec fromage à la crème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Ailes de poulet avec riz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Mousse à la tangerine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Carottes et trempette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parmentière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noces italiennes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à la viande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macaroni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céleri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Burger de porc effiloché 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Bouchées de pommes de terre au four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Croustillant aux fruits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brocoli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aux nouilles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Poitrine de poulet rôti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césar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pois chiches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Yogourt à la vanille et mangue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aux  bananes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Pâté chinois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Petit gâteau </w:t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riz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champignons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Poisson avec riz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carottes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pois chiches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Barre tendre protéinée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Sauté au bœuf et légumes avec nouilles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Brownie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8"/>
                <w:szCs w:val="28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8"/>
          <w:szCs w:val="28"/>
          <w:rtl w:val="0"/>
        </w:rPr>
        <w:t xml:space="preserve">Assortiment de salades et crudités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Lnllcl8tCNo2crG8oFSRttzlg==">CgMxLjAyCGguZ2pkZ3hzOAByITF0RDlUbHllZ0JQaThOcnB2clJnNHYwMXN6SWZuVkxQcg==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